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media/image1.png" ContentType="image/pn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CenturyGothic" w:cs="CenturyGothic"/>
          <w:b/>
          <w:b/>
          <w:bCs/>
          <w:color w:val="ED7D31" w:themeColor="accent2"/>
          <w:sz w:val="52"/>
          <w:szCs w:val="52"/>
        </w:rPr>
      </w:pPr>
      <w:r>
        <w:rPr>
          <w:rFonts w:eastAsia="CenturyGothic" w:cs="CenturyGothic"/>
          <w:b/>
          <w:bCs/>
          <w:color w:val="ED7D31" w:themeColor="accent2"/>
          <w:sz w:val="52"/>
          <w:szCs w:val="52"/>
        </w:rPr>
      </w:r>
    </w:p>
    <w:p>
      <w:pPr>
        <w:pStyle w:val="Normal"/>
        <w:rPr>
          <w:rFonts w:ascii="Ubuntu" w:hAnsi="Ubuntu"/>
        </w:rPr>
      </w:pPr>
      <w:r>
        <w:rPr>
          <w:rFonts w:eastAsia="CenturyGothic" w:cs="CenturyGothic"/>
          <w:b/>
          <w:bCs/>
          <w:color w:val="FF9900"/>
          <w:sz w:val="52"/>
          <w:szCs w:val="52"/>
        </w:rPr>
        <w:t xml:space="preserve">Übung 1: </w:t>
      </w:r>
      <w:r>
        <w:rPr>
          <w:rFonts w:eastAsia="CenturyGothic" w:cs="CenturyGothic"/>
          <w:b/>
          <w:bCs/>
          <w:color w:val="02A674"/>
          <w:sz w:val="52"/>
          <w:szCs w:val="52"/>
        </w:rPr>
        <w:t>Eigenschaften autistischer und nicht-autistischer Menschen vergleichen</w:t>
      </w:r>
    </w:p>
    <w:p>
      <w:pPr>
        <w:pStyle w:val="Normal"/>
        <w:spacing w:lineRule="auto" w:line="360" w:before="0" w:after="0"/>
        <w:ind w:right="457" w:hanging="0"/>
        <w:rPr>
          <w:rFonts w:ascii="Ubuntu" w:hAnsi="Ubuntu" w:eastAsia="Century Gothic" w:cs="Century Gothic"/>
          <w:color w:val="231F20"/>
        </w:rPr>
      </w:pPr>
      <w:r>
        <w:rPr>
          <w:rFonts w:eastAsia="Century Gothic" w:cs="Century Gothic"/>
          <w:color w:val="231F20"/>
        </w:rPr>
      </w:r>
    </w:p>
    <w:p>
      <w:pPr>
        <w:pStyle w:val="Normal"/>
        <w:spacing w:lineRule="auto" w:line="360" w:before="0" w:after="0"/>
        <w:ind w:right="457" w:hanging="0"/>
        <w:rPr>
          <w:sz w:val="24"/>
          <w:szCs w:val="24"/>
        </w:rPr>
      </w:pPr>
      <w:r>
        <w:rPr>
          <w:rFonts w:eastAsia="Century Gothic" w:cs="Century Gothic"/>
          <w:color w:val="231F20"/>
          <w:sz w:val="24"/>
          <w:szCs w:val="24"/>
        </w:rPr>
        <w:t xml:space="preserve">Die </w:t>
      </w:r>
      <w:r>
        <w:rPr>
          <w:rFonts w:eastAsia="Century Gothic" w:cs="Century Gothic"/>
          <w:color w:val="231F20"/>
          <w:sz w:val="24"/>
          <w:szCs w:val="24"/>
          <w:lang w:val="de-DE"/>
        </w:rPr>
        <w:t>meisten</w:t>
      </w:r>
      <w:r>
        <w:rPr>
          <w:rFonts w:eastAsia="Century Gothic" w:cs="Century Gothic"/>
          <w:color w:val="231F20"/>
          <w:sz w:val="24"/>
          <w:szCs w:val="24"/>
        </w:rPr>
        <w:t xml:space="preserve"> Menschen </w:t>
      </w:r>
      <w:r>
        <w:rPr>
          <w:rFonts w:eastAsia="Century Gothic" w:cs="Century Gothic"/>
          <w:color w:val="231F20"/>
          <w:sz w:val="24"/>
          <w:szCs w:val="24"/>
          <w:lang w:val="de-DE"/>
        </w:rPr>
        <w:t>sind</w:t>
      </w:r>
      <w:r>
        <w:rPr>
          <w:rFonts w:eastAsia="Century Gothic" w:cs="Century Gothic"/>
          <w:color w:val="231F20"/>
          <w:sz w:val="24"/>
          <w:szCs w:val="24"/>
        </w:rPr>
        <w:t xml:space="preserve"> </w:t>
      </w:r>
      <w:r>
        <w:rPr>
          <w:rFonts w:eastAsia="Century Gothic" w:cs="Century Gothic"/>
          <w:color w:val="231F20"/>
          <w:sz w:val="24"/>
          <w:szCs w:val="24"/>
          <w:lang w:val="de-DE"/>
        </w:rPr>
        <w:t>nicht-autistisch.</w:t>
      </w:r>
      <w:r>
        <w:rPr>
          <w:rFonts w:eastAsia="Century Gothic" w:cs="Century Gothic"/>
          <w:color w:val="231F20"/>
          <w:sz w:val="24"/>
          <w:szCs w:val="24"/>
        </w:rPr>
        <w:t xml:space="preserve"> Menschen, die der neurologischen Norm entsprechen, werden auch neurotypisch genannt. Unsere Gesellschaft ist auf neurotypische Menschen ausgerichtet. Wenn du neue Menschen kennenlernst, werden sie wahrscheinlich neurotypisch sein und implizit erwarten, dass du es auch bist. Viele autistische Menschen (besonders wenn sie lange undiagnostiziert waren oder sind) übernehmen diese Erwartung an sich selbst. Das kann ungesund sein, weil es bedeutet, dass man seine eigene Neurologie ignoriert und ständig über seine Grenzen geht. Es kann bedeuten, dass man sich selbst in Gedanken ständig herunterputzt, weil man vermeintlich nicht gut genug ist. Andererseits übersieht man manchmal seine Stärken, weil man sie so selbstverständlich findet.</w:t>
      </w:r>
    </w:p>
    <w:p>
      <w:pPr>
        <w:pStyle w:val="Normal"/>
        <w:spacing w:lineRule="auto" w:line="360" w:before="0" w:after="0"/>
        <w:ind w:right="457" w:hanging="0"/>
        <w:rPr>
          <w:rFonts w:ascii="Ubuntu" w:hAnsi="Ubuntu"/>
          <w:sz w:val="24"/>
          <w:szCs w:val="24"/>
        </w:rPr>
      </w:pPr>
      <w:r>
        <w:rPr>
          <w:rFonts w:eastAsia="Century Gothic" w:cs="Century Gothic"/>
          <w:color w:val="231F20"/>
          <w:sz w:val="24"/>
          <w:szCs w:val="24"/>
        </w:rPr>
        <w:t xml:space="preserve">Es kann deshalb nützlich sein zu vergleichen, wie autistische und nicht-autistische Menschen sich unterscheiden und wie sie unterschiedlich auf Situationen reagieren. Du kannst dich dir selbst gegenüber verständnisvoller, akzeptierender und mitfühlender verhalten, wenn du aufhörst, neurotypische Erwartungen an dich zu stellen. </w:t>
      </w:r>
    </w:p>
    <w:p>
      <w:pPr>
        <w:pStyle w:val="Normal"/>
        <w:spacing w:lineRule="auto" w:line="360" w:before="0" w:after="0"/>
        <w:ind w:right="457" w:hanging="0"/>
        <w:rPr>
          <w:rFonts w:ascii="Ubuntu" w:hAnsi="Ubuntu"/>
          <w:sz w:val="24"/>
          <w:szCs w:val="24"/>
        </w:rPr>
      </w:pPr>
      <w:r>
        <w:rPr>
          <w:sz w:val="24"/>
          <w:szCs w:val="24"/>
        </w:rPr>
      </w:r>
    </w:p>
    <w:p>
      <w:pPr>
        <w:pStyle w:val="Normal"/>
        <w:spacing w:lineRule="auto" w:line="360" w:before="0" w:after="0"/>
        <w:ind w:right="457" w:hanging="0"/>
        <w:rPr>
          <w:rFonts w:ascii="Ubuntu" w:hAnsi="Ubuntu"/>
          <w:sz w:val="24"/>
          <w:szCs w:val="24"/>
        </w:rPr>
      </w:pPr>
      <w:r>
        <w:rPr>
          <w:rFonts w:eastAsia="Century Gothic" w:cs="Century Gothic"/>
          <w:color w:val="231F20"/>
          <w:sz w:val="24"/>
          <w:szCs w:val="24"/>
        </w:rPr>
        <w:t>Die folgende Tabelle vergleicht häufige Eigenschaften autistischer und neurotypischer Menschen. Wahrscheinlich findest du dich in vielen autistischen Eigenschaften zu einem gewissen Grad wieder. Aber jeder Mensch ist anders und nicht jede autistische Person wird alle autistischen Eigenschaften haben und nicht jede neurotypische Person wird alle neurotypischen Eigenschaften haben.</w:t>
      </w:r>
    </w:p>
    <w:p>
      <w:pPr>
        <w:pStyle w:val="Normal"/>
        <w:rPr>
          <w:rFonts w:ascii="Ubuntu" w:hAnsi="Ubuntu"/>
        </w:rPr>
      </w:pPr>
      <w:r>
        <w:rPr/>
      </w:r>
      <w:bookmarkStart w:id="0" w:name="_GoBack"/>
      <w:bookmarkStart w:id="1" w:name="_GoBack"/>
      <w:bookmarkEnd w:id="1"/>
    </w:p>
    <w:tbl>
      <w:tblPr>
        <w:tblW w:w="14583" w:type="dxa"/>
        <w:jc w:val="left"/>
        <w:tblInd w:w="-9" w:type="dxa"/>
        <w:tblLayout w:type="fixed"/>
        <w:tblCellMar>
          <w:top w:w="0" w:type="dxa"/>
          <w:left w:w="0" w:type="dxa"/>
          <w:bottom w:w="0" w:type="dxa"/>
          <w:right w:w="0" w:type="dxa"/>
        </w:tblCellMar>
        <w:tblLook w:noVBand="0" w:val="01e0" w:noHBand="0" w:lastColumn="1" w:firstColumn="1" w:lastRow="1" w:firstRow="1"/>
      </w:tblPr>
      <w:tblGrid>
        <w:gridCol w:w="4"/>
        <w:gridCol w:w="2298"/>
        <w:gridCol w:w="6083"/>
        <w:gridCol w:w="6193"/>
        <w:gridCol w:w="4"/>
      </w:tblGrid>
      <w:tr>
        <w:trPr>
          <w:tblHeader w:val="true"/>
          <w:trHeight w:val="737" w:hRule="atLeast"/>
        </w:trPr>
        <w:tc>
          <w:tcPr>
            <w:tcW w:w="4" w:type="dxa"/>
            <w:tcBorders/>
          </w:tcPr>
          <w:p>
            <w:pPr>
              <w:pStyle w:val="Normal"/>
              <w:widowControl w:val="false"/>
              <w:spacing w:before="0" w:after="160"/>
              <w:jc w:val="center"/>
              <w:rPr>
                <w:rFonts w:ascii="Ubuntu" w:hAnsi="Ubuntu" w:eastAsia="CenturyGothic" w:cs="CenturyGothic"/>
                <w:b/>
                <w:b/>
                <w:bCs/>
                <w:color w:val="5B9BD5"/>
                <w:sz w:val="44"/>
                <w:szCs w:val="44"/>
              </w:rPr>
            </w:pPr>
            <w:r>
              <w:rPr>
                <w:rFonts w:eastAsia="CenturyGothic" w:cs="CenturyGothic"/>
                <w:b/>
                <w:bCs/>
                <w:color w:val="5B9BD5"/>
                <w:sz w:val="44"/>
                <w:szCs w:val="44"/>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Ubuntu" w:hAnsi="Ubuntu" w:eastAsia="CenturyGothic" w:cs="CenturyGothic"/>
                <w:b/>
                <w:b/>
                <w:bCs/>
                <w:color w:val="02A674"/>
                <w:sz w:val="24"/>
                <w:szCs w:val="24"/>
              </w:rPr>
            </w:pPr>
            <w:r>
              <w:rPr>
                <w:rFonts w:eastAsia="CenturyGothic" w:cs="CenturyGothic"/>
                <w:b/>
                <w:bCs/>
                <w:color w:val="02A674"/>
                <w:sz w:val="24"/>
                <w:szCs w:val="24"/>
              </w:rPr>
              <w:t>Eigenschaft</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CenturyGothic" w:cs="CenturyGothic"/>
                <w:b/>
                <w:bCs/>
                <w:color w:val="02A674"/>
                <w:sz w:val="24"/>
                <w:szCs w:val="24"/>
              </w:rPr>
              <w:t>Autistische Person</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CenturyGothic" w:cs="CenturyGothic"/>
                <w:b/>
                <w:bCs/>
                <w:color w:val="02A674"/>
                <w:sz w:val="24"/>
                <w:szCs w:val="24"/>
              </w:rPr>
              <w:t>Neurotypische Person</w:t>
            </w:r>
          </w:p>
        </w:tc>
      </w:tr>
      <w:tr>
        <w:trPr>
          <w:trHeight w:val="913"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Wörtlichkeit</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pPr>
            <w:r>
              <w:rPr>
                <w:rFonts w:eastAsia="Century Gothic" w:cs="Century Gothic"/>
                <w:color w:val="231F20"/>
                <w:sz w:val="24"/>
                <w:szCs w:val="24"/>
              </w:rPr>
              <w:t xml:space="preserve">Tendenz, gesprochene oder geschriebene Worte wörtlich zu interpretieren. </w:t>
            </w:r>
            <w:r>
              <w:rPr>
                <w:rFonts w:eastAsia="Century Gothic" w:cs="Century Gothic"/>
                <w:color w:val="231F20"/>
                <w:kern w:val="0"/>
                <w:sz w:val="24"/>
                <w:szCs w:val="24"/>
                <w:lang w:val="en-AU" w:eastAsia="zh-CN" w:bidi="ar-SA"/>
              </w:rPr>
              <w:t>Ü</w:t>
            </w:r>
            <w:r>
              <w:rPr>
                <w:rFonts w:eastAsia="Century Gothic" w:cs="Century Gothic"/>
                <w:color w:val="231F20"/>
                <w:sz w:val="24"/>
                <w:szCs w:val="24"/>
              </w:rPr>
              <w:t>bertragene Bedeutungen zu erkennen, ist ein kognitiver Prozess.</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Erkennt Bedeutungen  im übertragenen Sinn und Sarkasmus intuitiv.</w:t>
            </w:r>
          </w:p>
        </w:tc>
      </w:tr>
      <w:tr>
        <w:trPr>
          <w:trHeight w:val="737"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Aufmerksamkeitsfokus</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Fokussiert sich intensiv auf eine Sache (zum Beispiel einen Aspekt des Gesprächs oder ein Thema).</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Fokus nicht intensiv, kann sich dafür auf mehrere Aspekte oder Themen zugleich erstrecken.</w:t>
            </w:r>
          </w:p>
        </w:tc>
      </w:tr>
      <w:tr>
        <w:trPr>
          <w:trHeight w:val="898"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Informationen sammeln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Mit Fokus, Ausdauer und Beharrlichkeit dabei, Informationen zu einem Thema zu sammeln und systematisch zu katalogisieren.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sz w:val="24"/>
                <w:szCs w:val="24"/>
              </w:rPr>
              <w:t>Nicht immer engagiert dabei, Informationen auf eine organisierte Weise zu sammeln.</w:t>
            </w:r>
          </w:p>
        </w:tc>
      </w:tr>
      <w:tr>
        <w:trPr>
          <w:trHeight w:val="855"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Detailerinnerung</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Hat ein gutes Gedächtnis und/oder gute Detailerinnerung, zum Beispiel Namen, Daten, Fakten.</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Hat möglicherweise Schwierigkeiten, sich an spezifische Details zu erinnern.</w:t>
            </w:r>
          </w:p>
        </w:tc>
      </w:tr>
      <w:tr>
        <w:trPr>
          <w:trHeight w:val="855"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Anwendung des Gelernten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Gelerntes ist spezifisch für eine bestimmte Situation.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Kann Gelerntes leicht auf andere Situationen generalisieren. Kann in neuartigen Situationen auf existierendes Wissen zurückgreifen. </w:t>
            </w:r>
          </w:p>
        </w:tc>
      </w:tr>
      <w:tr>
        <w:trPr>
          <w:trHeight w:val="853"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sz w:val="24"/>
                <w:szCs w:val="24"/>
              </w:rPr>
              <w:t>Soziale Vorhersagen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Hat Schwierigkeiten, Ergebnisse oder Konsequenzen von Handlungen (auf sozialer Ebene, mit neurotypischen Menschen) vorherzusagen.</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Kann Ergebnisse oder Konsequenzen von Handlungen (auf sozialer Ebene, mit neurotypischen Menschen) vorhersagen.</w:t>
            </w:r>
          </w:p>
        </w:tc>
      </w:tr>
      <w:tr>
        <w:trPr>
          <w:trHeight w:val="737"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Theory of Mind</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Kann nicht gut einschätzen, was neurotypische Menschen denken und fühlen.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Kann nicht gut einschätzen, was autistische Menschen denken und fühlen. </w:t>
            </w:r>
          </w:p>
        </w:tc>
      </w:tr>
      <w:tr>
        <w:trPr>
          <w:trHeight w:val="737"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Sichtweise auf andere</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Kann andere so nehmen, wie sie sind; hat weniger sexistische oder andere Vorurteile.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Betrachten andere oft  im Kontext von Vorurteilen und gesellschaftlicher Stellung.</w:t>
            </w:r>
          </w:p>
        </w:tc>
      </w:tr>
      <w:tr>
        <w:trPr>
          <w:trHeight w:val="1363" w:hRule="atLeast"/>
          <w:cantSplit w:val="true"/>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Ehrlichkeit</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Tendenz zu ehrlichen Kommentaren und Antworten.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Gibt manchmal keine ehrliche Antwort, um die Gefühle anderer nicht zu verletzen oder um sich selbst Vorteile zu verschaffen. Gibt manchmal auch ehrliche Antworten, die in eine diplomatische und freundliche Formulierung verpackt sind. </w:t>
            </w:r>
          </w:p>
        </w:tc>
      </w:tr>
      <w:tr>
        <w:trPr>
          <w:trHeight w:val="2100"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Soziale Prioritäten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Ist oft  gern allein oder in Gesellschaft anderer Autist*innen. Kann die Bedürfnisse und Wünsche autistischer Menschen einschätzen, hat möglicherweise Schwierigkeiten, die Bedürfnisse und Wünsche neurotypischer Menschen einzuschätzen. </w:t>
            </w:r>
          </w:p>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Hat vielleicht wenig Gespür für angemessene Kleidung und Mode.</w:t>
            </w:r>
          </w:p>
          <w:p>
            <w:pPr>
              <w:pStyle w:val="Normal"/>
              <w:widowControl w:val="false"/>
              <w:spacing w:lineRule="exact" w:line="240" w:before="0" w:after="0"/>
              <w:ind w:left="114" w:right="151" w:hanging="0"/>
              <w:rPr>
                <w:sz w:val="24"/>
                <w:szCs w:val="24"/>
              </w:rPr>
            </w:pPr>
            <w:r>
              <w:rPr>
                <w:sz w:val="24"/>
                <w:szCs w:val="24"/>
              </w:rPr>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Mag die Gesellschaft anderer neurotypischer Menschen und kann deren Bedürfnisse und Wünsche  einzuschätzen. Hat Schwierigkeiten, die Bedürfnisse und Wünsche autistischer Menschen einzuschätzen. </w:t>
            </w:r>
          </w:p>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Ist sich Kleidungsstil und Mode bewusst. </w:t>
            </w:r>
          </w:p>
        </w:tc>
      </w:tr>
      <w:tr>
        <w:trPr>
          <w:trHeight w:val="1635"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Soziale Situationen</w:t>
            </w:r>
          </w:p>
          <w:p>
            <w:pPr>
              <w:pStyle w:val="Normal"/>
              <w:widowControl w:val="false"/>
              <w:spacing w:lineRule="exact" w:line="240" w:before="0" w:after="16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Fühlt sich vielleicht unsicher und ängstlich in sozialen Situationen mit neurotypischen Menschen, besonders wenn sie neu für die Person sind.</w:t>
            </w:r>
          </w:p>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Hat Schwierigkeiten zu verstehen, welches Verhalten neurotypischen Menschen  in sozialen Situationen erwarten.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Kann im Allgemeinen die ungeschriebenen Regeln sozialer Situationen verstehen, kann eine bestimmte soziale Situation intuitiv interpretieren und die Erwartungen anderer neurotypischer Menschen erkennen. </w:t>
            </w:r>
          </w:p>
        </w:tc>
      </w:tr>
      <w:tr>
        <w:trPr>
          <w:trHeight w:val="915"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Organisation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Hat Schwierigkeiten mit dem Zeitmanagement, und mit der Planung und Priorisierung von Aufgaben im Studium und auf der Arbeit.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Kann meist  Aufgaben im Studium und auf der Arbeit planen, priorisieren und organisieren.</w:t>
            </w:r>
          </w:p>
        </w:tc>
      </w:tr>
      <w:tr>
        <w:trPr>
          <w:trHeight w:val="840"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Nonverbale Kommunikation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Hat Schwierigkeiten, Gesichtsausdruck, Tonlage und Körpersprache zu interpretieren. </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Versteht und verwendet Gesichtsausdruck, Tonlage und Körpersprache als wesentlichen Teil der Kommunikation. </w:t>
            </w:r>
          </w:p>
        </w:tc>
      </w:tr>
      <w:tr>
        <w:trPr>
          <w:trHeight w:val="1140" w:hRule="atLeast"/>
        </w:trPr>
        <w:tc>
          <w:tcPr>
            <w:tcW w:w="4" w:type="dxa"/>
            <w:tcBorders/>
          </w:tcPr>
          <w:p>
            <w:pPr>
              <w:pStyle w:val="Normal"/>
              <w:widowControl w:val="false"/>
              <w:spacing w:lineRule="exact" w:line="240" w:before="0" w:after="0"/>
              <w:ind w:left="114" w:right="151" w:hanging="0"/>
              <w:rPr>
                <w:rFonts w:ascii="Ubuntu" w:hAnsi="Ubuntu" w:eastAsia="Century Gothic" w:cs="Century Gothic"/>
                <w:color w:val="231F20"/>
                <w:sz w:val="16"/>
                <w:szCs w:val="16"/>
              </w:rPr>
            </w:pPr>
            <w:r>
              <w:rPr>
                <w:rFonts w:eastAsia="Century Gothic" w:cs="Century Gothic"/>
                <w:color w:val="231F20"/>
                <w:sz w:val="16"/>
                <w:szCs w:val="16"/>
              </w:rPr>
            </w:r>
          </w:p>
        </w:tc>
        <w:tc>
          <w:tcPr>
            <w:tcW w:w="2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Blickkontakt</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Vermeidet Blickkontakt mit anderen Menschen, weil es sich unangenehm anfühlt oder sieht anderen nicht in die Augen, weil sie*er dort keine relevanten Informationen findet.</w:t>
            </w:r>
          </w:p>
        </w:tc>
        <w:tc>
          <w:tcPr>
            <w:tcW w:w="61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Bevorzugt Blickkontakt und betrachtet ihn als wichtigen Teil der Kommunikation. </w:t>
            </w:r>
          </w:p>
        </w:tc>
      </w:tr>
      <w:tr>
        <w:trPr>
          <w:trHeight w:val="958" w:hRule="atLeast"/>
        </w:trPr>
        <w:tc>
          <w:tcPr>
            <w:tcW w:w="2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Regeln und Vorgehensweisen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Hält sich meist genau an Regeln und Vorgehensweisen. Wird vielleicht gestresst, wenn die Person selbst oder andere sich nicht daran halten. </w:t>
            </w:r>
          </w:p>
        </w:tc>
        <w:tc>
          <w:tcPr>
            <w:tcW w:w="6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Ist in der Lage, in einigen Umständen die Regeln zu brechen, ohne sich gestresst zu fühlen. Toleriert Regelverstöße von anderen je nach Umständen. </w:t>
            </w:r>
          </w:p>
        </w:tc>
        <w:tc>
          <w:tcPr>
            <w:tcW w:w="4" w:type="dxa"/>
            <w:tcBorders/>
          </w:tcPr>
          <w:p>
            <w:pPr>
              <w:pStyle w:val="Normal"/>
              <w:widowControl w:val="false"/>
              <w:spacing w:before="0" w:after="160"/>
              <w:rPr>
                <w:rFonts w:ascii="Ubuntu" w:hAnsi="Ubuntu"/>
              </w:rPr>
            </w:pPr>
            <w:r>
              <w:rPr/>
            </w:r>
          </w:p>
        </w:tc>
      </w:tr>
      <w:tr>
        <w:trPr>
          <w:trHeight w:val="1140" w:hRule="atLeast"/>
        </w:trPr>
        <w:tc>
          <w:tcPr>
            <w:tcW w:w="2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Routinen und unerwartete Situationen</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Wird bei Abweichungen von der üblichen Routine vielleicht gestresst und ängstlich.</w:t>
            </w:r>
          </w:p>
        </w:tc>
        <w:tc>
          <w:tcPr>
            <w:tcW w:w="6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Hat vielleicht keine festen Routinen. Diejenigen, die feste Routinen haben, können davon abweichen, ohne sich gestresst oder ängstlich zu fühlen. Flexibel und in der Lage, mit Veränderungen umzugehen. </w:t>
            </w:r>
          </w:p>
        </w:tc>
        <w:tc>
          <w:tcPr>
            <w:tcW w:w="4" w:type="dxa"/>
            <w:tcBorders/>
          </w:tcPr>
          <w:p>
            <w:pPr>
              <w:pStyle w:val="Normal"/>
              <w:widowControl w:val="false"/>
              <w:spacing w:before="0" w:after="160"/>
              <w:rPr>
                <w:rFonts w:ascii="Ubuntu" w:hAnsi="Ubuntu"/>
              </w:rPr>
            </w:pPr>
            <w:r>
              <w:rPr/>
            </w:r>
          </w:p>
        </w:tc>
      </w:tr>
      <w:tr>
        <w:trPr>
          <w:trHeight w:val="1185" w:hRule="atLeast"/>
        </w:trPr>
        <w:tc>
          <w:tcPr>
            <w:tcW w:w="2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Sensorische Reize</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Nimmt sensorische Reize wie Hintergrundgeräusche, grelles Licht oder bestimmte Gerüche oft hyperempfindlich wahr. Kann davon stark abgelenkt werden. </w:t>
            </w:r>
          </w:p>
        </w:tc>
        <w:tc>
          <w:tcPr>
            <w:tcW w:w="6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Nicht hypersensitiv. Nicht unbedingt abgelenkt durch sensorische Reize, kann sie ausfiltern. </w:t>
            </w:r>
          </w:p>
        </w:tc>
        <w:tc>
          <w:tcPr>
            <w:tcW w:w="4" w:type="dxa"/>
            <w:tcBorders/>
          </w:tcPr>
          <w:p>
            <w:pPr>
              <w:pStyle w:val="Normal"/>
              <w:widowControl w:val="false"/>
              <w:spacing w:before="0" w:after="160"/>
              <w:rPr>
                <w:rFonts w:ascii="Ubuntu" w:hAnsi="Ubuntu"/>
              </w:rPr>
            </w:pPr>
            <w:r>
              <w:rPr/>
            </w:r>
          </w:p>
        </w:tc>
      </w:tr>
      <w:tr>
        <w:trPr>
          <w:trHeight w:val="1485" w:hRule="atLeast"/>
        </w:trPr>
        <w:tc>
          <w:tcPr>
            <w:tcW w:w="2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Stimming</w:t>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Verwendet Stimming (bestimmte sich wiederholende Bewegungen oder Laute, z.B. Hände wedeln, Hin- und Herlaufen). Stimming hat viele Funktionen, z.B. kann es ein Weg sein, mit Stress umzugehen, und ist Teil der autistischen Körpersprache. </w:t>
            </w:r>
          </w:p>
        </w:tc>
        <w:tc>
          <w:tcPr>
            <w:tcW w:w="6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Verwendet nur minimales Stimming, das als sozial angemessen gilt.</w:t>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Gespräche</w:t>
            </w:r>
          </w:p>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 xml:space="preserve">Hat vielleicht Schwierigkeiten, ein Gespräch zu beginnen, zu steuern und zu beenden. </w:t>
            </w:r>
          </w:p>
        </w:tc>
        <w:tc>
          <w:tcPr>
            <w:tcW w:w="6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sz w:val="24"/>
                <w:szCs w:val="24"/>
              </w:rPr>
            </w:r>
          </w:p>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Ist üblicherweise versiert darin, ein Gespräch zu führen. </w:t>
            </w:r>
          </w:p>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4" w:type="dxa"/>
            <w:tcBorders/>
          </w:tcPr>
          <w:p>
            <w:pPr>
              <w:pStyle w:val="Normal"/>
              <w:widowControl w:val="false"/>
              <w:spacing w:before="0" w:after="160"/>
              <w:rPr>
                <w:rFonts w:ascii="Ubuntu" w:hAnsi="Ubuntu"/>
              </w:rPr>
            </w:pPr>
            <w:r>
              <w:rPr/>
            </w:r>
          </w:p>
        </w:tc>
      </w:tr>
      <w:tr>
        <w:trPr>
          <w:trHeight w:val="783" w:hRule="atLeast"/>
        </w:trPr>
        <w:tc>
          <w:tcPr>
            <w:tcW w:w="2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sz w:val="24"/>
                <w:szCs w:val="24"/>
              </w:rPr>
            </w:pPr>
            <w:r>
              <w:rPr>
                <w:rFonts w:eastAsia="Century Gothic" w:cs="Century Gothic"/>
                <w:color w:val="231F20"/>
                <w:sz w:val="24"/>
                <w:szCs w:val="24"/>
              </w:rPr>
              <w:t>Motorische Fähigkeiten</w:t>
            </w:r>
          </w:p>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0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Hat vielleicht Schwierigkeiten mit Fein- und Grobmotorik, z.B. Handschrift oder Koordination.</w:t>
            </w:r>
          </w:p>
        </w:tc>
        <w:tc>
          <w:tcPr>
            <w:tcW w:w="6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t xml:space="preserve">Hat meist gute fein- und grobmotorische Fähigkeiten. </w:t>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0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1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0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1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0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61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ind w:left="114" w:right="151" w:hanging="0"/>
              <w:rPr>
                <w:rFonts w:ascii="Ubuntu" w:hAnsi="Ubuntu" w:eastAsia="Century Gothic" w:cs="Century Gothic"/>
                <w:color w:val="231F20"/>
                <w:sz w:val="24"/>
                <w:szCs w:val="24"/>
              </w:rPr>
            </w:pPr>
            <w:r>
              <w:rPr>
                <w:rFonts w:eastAsia="Century Gothic" w:cs="Century Gothic"/>
                <w:color w:val="231F20"/>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1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1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083" w:type="dxa"/>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193" w:type="dxa"/>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083" w:type="dxa"/>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193" w:type="dxa"/>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4" w:type="dxa"/>
            <w:tcBorders/>
          </w:tcPr>
          <w:p>
            <w:pPr>
              <w:pStyle w:val="Normal"/>
              <w:widowControl w:val="false"/>
              <w:spacing w:before="0" w:after="160"/>
              <w:rPr>
                <w:rFonts w:ascii="Ubuntu" w:hAnsi="Ubuntu"/>
              </w:rPr>
            </w:pPr>
            <w:r>
              <w:rPr/>
            </w:r>
          </w:p>
        </w:tc>
      </w:tr>
      <w:tr>
        <w:trPr>
          <w:trHeight w:val="737" w:hRule="atLeast"/>
        </w:trPr>
        <w:tc>
          <w:tcPr>
            <w:tcW w:w="2302" w:type="dxa"/>
            <w:gridSpan w:val="2"/>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083" w:type="dxa"/>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6193" w:type="dxa"/>
            <w:tcBorders>
              <w:left w:val="single" w:sz="4" w:space="0" w:color="000000"/>
              <w:bottom w:val="single" w:sz="4" w:space="0" w:color="000000"/>
              <w:right w:val="single" w:sz="4" w:space="0" w:color="000000"/>
            </w:tcBorders>
          </w:tcPr>
          <w:p>
            <w:pPr>
              <w:pStyle w:val="Normal"/>
              <w:widowControl w:val="false"/>
              <w:spacing w:before="0" w:after="160"/>
              <w:rPr>
                <w:rFonts w:ascii="Ubuntu" w:hAnsi="Ubuntu"/>
                <w:sz w:val="24"/>
                <w:szCs w:val="24"/>
              </w:rPr>
            </w:pPr>
            <w:r>
              <w:rPr>
                <w:sz w:val="24"/>
                <w:szCs w:val="24"/>
              </w:rPr>
            </w:r>
          </w:p>
        </w:tc>
        <w:tc>
          <w:tcPr>
            <w:tcW w:w="4" w:type="dxa"/>
            <w:tcBorders/>
          </w:tcPr>
          <w:p>
            <w:pPr>
              <w:pStyle w:val="Normal"/>
              <w:widowControl w:val="false"/>
              <w:spacing w:before="0" w:after="160"/>
              <w:rPr>
                <w:rFonts w:ascii="Ubuntu" w:hAnsi="Ubuntu"/>
              </w:rPr>
            </w:pPr>
            <w:r>
              <w:rPr/>
            </w:r>
          </w:p>
        </w:tc>
      </w:tr>
    </w:tbl>
    <w:p>
      <w:pPr>
        <w:pStyle w:val="Normal"/>
        <w:spacing w:before="0" w:after="160"/>
        <w:rPr>
          <w:rFonts w:ascii="Ubuntu" w:hAnsi="Ubuntu"/>
        </w:rPr>
      </w:pPr>
      <w:r>
        <w:rPr/>
      </w:r>
    </w:p>
    <w:sectPr>
      <w:footerReference w:type="default" r:id="rId2"/>
      <w:type w:val="nextPage"/>
      <w:pgSz w:orient="landscape" w:w="16838" w:h="11906"/>
      <w:pgMar w:left="1440" w:right="709" w:header="0" w:top="568" w:footer="113"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Ubuntu">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1939445"/>
    </w:sdtPr>
    <w:sdtContent>
      <w:p>
        <w:pPr>
          <w:pStyle w:val="Footer"/>
          <w:pBdr>
            <w:top w:val="single" w:sz="4" w:space="0" w:color="D9D9D9"/>
          </w:pBdr>
          <w:jc w:val="right"/>
          <w:rPr/>
        </w:pPr>
        <w:r>
          <w:rPr/>
          <w:fldChar w:fldCharType="begin"/>
        </w:r>
        <w:r>
          <w:rPr/>
          <w:instrText> PAGE </w:instrText>
        </w:r>
        <w:r>
          <w:rPr/>
          <w:fldChar w:fldCharType="separate"/>
        </w:r>
        <w:r>
          <w:rPr/>
          <w:t>5</w:t>
        </w:r>
        <w:r>
          <w:rPr/>
          <w:fldChar w:fldCharType="end"/>
        </w:r>
        <w:r>
          <w:rPr/>
          <w:t xml:space="preserve"> </w:t>
        </w:r>
      </w:p>
    </w:sdtContent>
  </w:sdt>
  <w:p>
    <w:pPr>
      <w:pStyle w:val="Normal"/>
      <w:tabs>
        <w:tab w:val="clear" w:pos="720"/>
        <w:tab w:val="left" w:pos="5535" w:leader="none"/>
      </w:tabs>
      <w:rPr>
        <w:rFonts w:ascii="Ubuntu" w:hAnsi="Ubuntu"/>
        <w:sz w:val="24"/>
        <w:szCs w:val="24"/>
      </w:rPr>
    </w:pPr>
    <w:r>
      <w:rPr>
        <w:rFonts w:eastAsia="CenturyGothic" w:cs="CenturyGothic"/>
        <w:b/>
        <w:bCs/>
        <w:color w:val="02A674" w:themeShade="bf"/>
        <w:sz w:val="36"/>
        <w:szCs w:val="36"/>
      </w:rPr>
      <w:t>Portal Autismus &amp; Studium</w:t>
      <w:tab/>
      <w:tab/>
    </w:r>
    <w:r>
      <w:drawing>
        <wp:anchor behindDoc="1" distT="0" distB="0" distL="0" distR="0" simplePos="0" locked="0" layoutInCell="0" allowOverlap="1" relativeHeight="6">
          <wp:simplePos x="0" y="0"/>
          <wp:positionH relativeFrom="column">
            <wp:posOffset>3963670</wp:posOffset>
          </wp:positionH>
          <wp:positionV relativeFrom="paragraph">
            <wp:posOffset>20955</wp:posOffset>
          </wp:positionV>
          <wp:extent cx="410845" cy="221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10845" cy="221615"/>
                  </a:xfrm>
                  <a:prstGeom prst="rect">
                    <a:avLst/>
                  </a:prstGeom>
                </pic:spPr>
              </pic:pic>
            </a:graphicData>
          </a:graphic>
        </wp:anchor>
      </w:drawing>
    </w:r>
    <w:r>
      <w:rPr>
        <w:rFonts w:eastAsia="CenturyGothic" w:cs="CenturyGothic"/>
        <w:b/>
        <w:bCs/>
        <w:color w:val="02A674" w:themeShade="bf"/>
        <w:sz w:val="36"/>
        <w:szCs w:val="36"/>
      </w:rPr>
      <w:tab/>
    </w:r>
    <w:r>
      <w:rPr>
        <w:rFonts w:eastAsia="CenturyGothic" w:cs="CenturyGothic"/>
        <w:b/>
        <w:bCs/>
        <w:color w:val="02A674" w:themeShade="bf"/>
        <w:sz w:val="36"/>
        <w:szCs w:val="36"/>
      </w:rPr>
      <w:t xml:space="preserve">      </w:t>
    </w:r>
    <w:r>
      <w:rPr>
        <w:rFonts w:eastAsia="CenturyGothic" w:cs="CenturyGothic"/>
        <w:b/>
        <w:bCs/>
        <w:color w:val="FF9900" w:themeShade="bf"/>
        <w:sz w:val="36"/>
        <w:szCs w:val="36"/>
      </w:rPr>
      <w:t>Autismus-Kultur</w:t>
    </w:r>
  </w:p>
  <w:p>
    <w:pPr>
      <w:pStyle w:val="Normal"/>
      <w:tabs>
        <w:tab w:val="clear" w:pos="720"/>
        <w:tab w:val="left" w:pos="5535" w:leader="none"/>
      </w:tabs>
      <w:rPr>
        <w:color w:val="2E74B5" w:themeColor="accent1" w:themeShade="bf"/>
        <w:sz w:val="36"/>
        <w:szCs w:val="36"/>
      </w:rPr>
    </w:pPr>
    <w:r>
      <w:rPr>
        <w:color w:val="2E74B5" w:themeColor="accent1" w:themeShade="bf"/>
        <w:sz w:val="36"/>
        <w:szCs w:val="36"/>
      </w:rPr>
    </w:r>
  </w:p>
  <w:p>
    <w:pPr>
      <w:pStyle w:val="Normal"/>
      <w:widowControl/>
      <w:bidi w:val="0"/>
      <w:spacing w:lineRule="atLeast" w:line="11"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A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11" w:before="0" w:after="160"/>
      <w:jc w:val="left"/>
    </w:pPr>
    <w:rPr>
      <w:rFonts w:ascii="Ubuntu" w:hAnsi="Ubuntu" w:eastAsia="宋体" w:cs="Arial" w:cstheme="minorBidi" w:eastAsiaTheme="minorEastAsia"/>
      <w:color w:val="auto"/>
      <w:kern w:val="0"/>
      <w:sz w:val="22"/>
      <w:szCs w:val="22"/>
      <w:lang w:val="en-AU" w:eastAsia="zh-CN"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link w:val="Heading2Char"/>
    <w:uiPriority w:val="9"/>
    <w:qFormat/>
    <w:rsid w:val="00613d3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3d30"/>
    <w:rPr/>
  </w:style>
  <w:style w:type="character" w:styleId="FooterChar" w:customStyle="1">
    <w:name w:val="Footer Char"/>
    <w:basedOn w:val="DefaultParagraphFont"/>
    <w:link w:val="Footer"/>
    <w:uiPriority w:val="99"/>
    <w:qFormat/>
    <w:rsid w:val="00613d30"/>
    <w:rPr/>
  </w:style>
  <w:style w:type="character" w:styleId="Heading2Char" w:customStyle="1">
    <w:name w:val="Heading 2 Char"/>
    <w:basedOn w:val="DefaultParagraphFont"/>
    <w:link w:val="Heading2"/>
    <w:uiPriority w:val="9"/>
    <w:qFormat/>
    <w:rsid w:val="00613d30"/>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613d3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13d30"/>
    <w:pPr>
      <w:tabs>
        <w:tab w:val="clear" w:pos="720"/>
        <w:tab w:val="center" w:pos="4513" w:leader="none"/>
        <w:tab w:val="right" w:pos="9026" w:leader="none"/>
      </w:tabs>
      <w:spacing w:lineRule="auto" w:line="240" w:before="0" w:after="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613d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8DC5-24B9-4491-A396-29ACDC7D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Application>LibreOffice/7.0.2.2$Linux_X86_64 LibreOffice_project/00$Build-2</Application>
  <Pages>5</Pages>
  <Words>880</Words>
  <Characters>6012</Characters>
  <CharactersWithSpaces>6862</CharactersWithSpaces>
  <Paragraphs>72</Paragraphs>
  <Company>IT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2015-06-10T05:52:00Z</dcterms:created>
  <dc:creator>Jane Hawkeswood</dc:creator>
  <dc:description/>
  <dc:language>de-DE</dc:language>
  <cp:lastModifiedBy/>
  <cp:lastPrinted>2015-06-12T02:56:00Z</cp:lastPrinted>
  <dcterms:modified xsi:type="dcterms:W3CDTF">2020-12-10T21:50:07Z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